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E2421" w14:textId="25233FE7" w:rsidR="00F875D5" w:rsidRPr="0087674E" w:rsidRDefault="00F875D5" w:rsidP="00294C7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7674E">
        <w:rPr>
          <w:rFonts w:ascii="Times New Roman" w:hAnsi="Times New Roman"/>
          <w:bCs/>
          <w:sz w:val="28"/>
          <w:szCs w:val="28"/>
        </w:rPr>
        <w:t>Долбо</w:t>
      </w:r>
      <w:r w:rsidR="00726B9B" w:rsidRPr="00294C74">
        <w:rPr>
          <w:rFonts w:ascii="Times New Roman" w:hAnsi="Times New Roman"/>
          <w:bCs/>
          <w:sz w:val="28"/>
          <w:szCs w:val="28"/>
        </w:rPr>
        <w:t>о</w:t>
      </w:r>
      <w:r w:rsidRPr="0087674E">
        <w:rPr>
          <w:rFonts w:ascii="Times New Roman" w:hAnsi="Times New Roman"/>
          <w:bCs/>
          <w:sz w:val="28"/>
          <w:szCs w:val="28"/>
        </w:rPr>
        <w:t xml:space="preserve">р </w:t>
      </w:r>
    </w:p>
    <w:p w14:paraId="45ECC813" w14:textId="77777777" w:rsidR="00F875D5" w:rsidRPr="0087674E" w:rsidRDefault="00F875D5" w:rsidP="00F875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C462B0" w14:textId="77777777" w:rsidR="00F875D5" w:rsidRPr="0087674E" w:rsidRDefault="00F875D5" w:rsidP="00F875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E7EA77" w14:textId="44FF28A8" w:rsidR="00F875D5" w:rsidRPr="0087674E" w:rsidRDefault="00F875D5" w:rsidP="00F875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674E">
        <w:rPr>
          <w:rFonts w:ascii="Times New Roman" w:hAnsi="Times New Roman"/>
          <w:b/>
          <w:bCs/>
          <w:sz w:val="28"/>
          <w:szCs w:val="28"/>
        </w:rPr>
        <w:t>КЫРГЫЗ РЕСПУБЛИКАСЫНЫН МЫЙЗАМЫ</w:t>
      </w:r>
    </w:p>
    <w:p w14:paraId="250F3199" w14:textId="77777777" w:rsidR="00F875D5" w:rsidRPr="0087674E" w:rsidRDefault="00F875D5" w:rsidP="00F875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7E02ED" w14:textId="3C0F6458" w:rsidR="00F875D5" w:rsidRPr="0087674E" w:rsidRDefault="00F875D5" w:rsidP="00F875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674E">
        <w:rPr>
          <w:rFonts w:ascii="Times New Roman" w:hAnsi="Times New Roman"/>
          <w:b/>
          <w:bCs/>
          <w:sz w:val="28"/>
          <w:szCs w:val="28"/>
        </w:rPr>
        <w:t xml:space="preserve">"Кооптуу өндүрүш объекттеринин өнөр жай коопсуздугу жөнүндө" Кыргыз Республикасынын </w:t>
      </w:r>
      <w:r w:rsidR="0087674E" w:rsidRPr="0087674E">
        <w:rPr>
          <w:rFonts w:ascii="Times New Roman" w:hAnsi="Times New Roman"/>
          <w:b/>
          <w:bCs/>
          <w:sz w:val="28"/>
          <w:szCs w:val="28"/>
        </w:rPr>
        <w:t>м</w:t>
      </w:r>
      <w:r w:rsidRPr="0087674E">
        <w:rPr>
          <w:rFonts w:ascii="Times New Roman" w:hAnsi="Times New Roman"/>
          <w:b/>
          <w:bCs/>
          <w:sz w:val="28"/>
          <w:szCs w:val="28"/>
        </w:rPr>
        <w:t>ыйзамына өзгөртүүлөрдү киргизүү тууралуу</w:t>
      </w:r>
    </w:p>
    <w:p w14:paraId="40738FD2" w14:textId="77777777" w:rsidR="00F875D5" w:rsidRPr="0087674E" w:rsidRDefault="00F875D5" w:rsidP="00F87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828D81" w14:textId="0E3ACFA3" w:rsidR="00F875D5" w:rsidRPr="0087674E" w:rsidRDefault="00F875D5" w:rsidP="00F875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7674E">
        <w:rPr>
          <w:rFonts w:ascii="Times New Roman" w:hAnsi="Times New Roman"/>
          <w:sz w:val="28"/>
          <w:szCs w:val="28"/>
        </w:rPr>
        <w:t xml:space="preserve">"Кыргыз Республикасынын Министрлер Кабинети жөнүндө" Кыргыз Республикасынын </w:t>
      </w:r>
      <w:r w:rsidR="00B04CE9">
        <w:rPr>
          <w:rFonts w:ascii="Times New Roman" w:hAnsi="Times New Roman"/>
          <w:sz w:val="28"/>
          <w:szCs w:val="28"/>
          <w:lang w:val="ru-RU"/>
        </w:rPr>
        <w:t>К</w:t>
      </w:r>
      <w:r w:rsidRPr="0087674E">
        <w:rPr>
          <w:rFonts w:ascii="Times New Roman" w:hAnsi="Times New Roman"/>
          <w:sz w:val="28"/>
          <w:szCs w:val="28"/>
        </w:rPr>
        <w:t xml:space="preserve">онституциялык </w:t>
      </w:r>
      <w:r w:rsidR="00B04CE9">
        <w:rPr>
          <w:rFonts w:ascii="Times New Roman" w:hAnsi="Times New Roman"/>
          <w:sz w:val="28"/>
          <w:szCs w:val="28"/>
          <w:lang w:val="ru-RU"/>
        </w:rPr>
        <w:t>М</w:t>
      </w:r>
      <w:r w:rsidRPr="0087674E">
        <w:rPr>
          <w:rFonts w:ascii="Times New Roman" w:hAnsi="Times New Roman"/>
          <w:sz w:val="28"/>
          <w:szCs w:val="28"/>
        </w:rPr>
        <w:t xml:space="preserve">ыйзамынын 13, 17-беренелерине ылайык Кыргыз Республикасынын Министрлер Кабинети </w:t>
      </w:r>
      <w:r w:rsidRPr="0087674E">
        <w:rPr>
          <w:rFonts w:ascii="Times New Roman" w:hAnsi="Times New Roman"/>
          <w:b/>
          <w:bCs/>
          <w:sz w:val="28"/>
          <w:szCs w:val="28"/>
        </w:rPr>
        <w:t>токтом кылат:</w:t>
      </w:r>
    </w:p>
    <w:p w14:paraId="49D12820" w14:textId="5243F17B" w:rsidR="0087674E" w:rsidRPr="00294C74" w:rsidRDefault="00692C8C" w:rsidP="00DB11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74E">
        <w:rPr>
          <w:rFonts w:ascii="Times New Roman" w:hAnsi="Times New Roman"/>
          <w:sz w:val="28"/>
          <w:szCs w:val="28"/>
        </w:rPr>
        <w:t xml:space="preserve">1. </w:t>
      </w:r>
      <w:r w:rsidR="00B04CE9" w:rsidRPr="0087674E">
        <w:rPr>
          <w:rFonts w:ascii="Times New Roman" w:hAnsi="Times New Roman"/>
          <w:sz w:val="28"/>
          <w:szCs w:val="28"/>
        </w:rPr>
        <w:t xml:space="preserve">“Кооптуу өндүрүштүк объекттердин өнөр жай коопсуздугу жөнүндө” </w:t>
      </w:r>
      <w:r w:rsidR="0087674E" w:rsidRPr="0087674E">
        <w:rPr>
          <w:rFonts w:ascii="Times New Roman" w:hAnsi="Times New Roman"/>
          <w:sz w:val="28"/>
          <w:szCs w:val="28"/>
        </w:rPr>
        <w:t xml:space="preserve">Кыргыз Республикасынын 2016-жылдын 2-августундагы </w:t>
      </w:r>
      <w:r w:rsidR="0087674E" w:rsidRPr="00294C74">
        <w:rPr>
          <w:rFonts w:ascii="Times New Roman" w:hAnsi="Times New Roman"/>
          <w:sz w:val="28"/>
          <w:szCs w:val="28"/>
        </w:rPr>
        <w:t>№</w:t>
      </w:r>
      <w:r w:rsidR="0087674E" w:rsidRPr="0087674E">
        <w:rPr>
          <w:rFonts w:ascii="Times New Roman" w:hAnsi="Times New Roman"/>
          <w:sz w:val="28"/>
          <w:szCs w:val="28"/>
        </w:rPr>
        <w:t xml:space="preserve"> 160 </w:t>
      </w:r>
      <w:r w:rsidR="0087674E" w:rsidRPr="00294C74">
        <w:rPr>
          <w:rFonts w:ascii="Times New Roman" w:hAnsi="Times New Roman"/>
          <w:sz w:val="28"/>
          <w:szCs w:val="28"/>
        </w:rPr>
        <w:t>м</w:t>
      </w:r>
      <w:r w:rsidR="0087674E" w:rsidRPr="0087674E">
        <w:rPr>
          <w:rFonts w:ascii="Times New Roman" w:hAnsi="Times New Roman"/>
          <w:sz w:val="28"/>
          <w:szCs w:val="28"/>
        </w:rPr>
        <w:t>ыйзамына төмөнкү</w:t>
      </w:r>
      <w:r w:rsidR="00B04CE9">
        <w:rPr>
          <w:rFonts w:ascii="Times New Roman" w:hAnsi="Times New Roman"/>
          <w:sz w:val="28"/>
          <w:szCs w:val="28"/>
        </w:rPr>
        <w:t>дөй</w:t>
      </w:r>
      <w:r w:rsidR="0087674E" w:rsidRPr="0087674E">
        <w:rPr>
          <w:rFonts w:ascii="Times New Roman" w:hAnsi="Times New Roman"/>
          <w:sz w:val="28"/>
          <w:szCs w:val="28"/>
        </w:rPr>
        <w:t xml:space="preserve"> өзгөртүүлөр киргизилсин:</w:t>
      </w:r>
    </w:p>
    <w:p w14:paraId="1689DAD8" w14:textId="6E384431" w:rsidR="00F875D5" w:rsidRPr="0087674E" w:rsidRDefault="00692C8C" w:rsidP="00DB11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74E">
        <w:rPr>
          <w:rFonts w:ascii="Times New Roman" w:hAnsi="Times New Roman"/>
          <w:sz w:val="28"/>
          <w:szCs w:val="28"/>
        </w:rPr>
        <w:t>1) 5-</w:t>
      </w:r>
      <w:r w:rsidR="00B04CE9">
        <w:rPr>
          <w:rFonts w:ascii="Times New Roman" w:hAnsi="Times New Roman"/>
          <w:sz w:val="28"/>
          <w:szCs w:val="28"/>
        </w:rPr>
        <w:t>беренеде:</w:t>
      </w:r>
    </w:p>
    <w:p w14:paraId="419D4C7D" w14:textId="72BF9124" w:rsidR="00F875D5" w:rsidRPr="00B04CE9" w:rsidRDefault="00F875D5" w:rsidP="00DB11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16B">
        <w:rPr>
          <w:rFonts w:ascii="Times New Roman" w:hAnsi="Times New Roman"/>
          <w:sz w:val="28"/>
          <w:szCs w:val="28"/>
        </w:rPr>
        <w:t xml:space="preserve">- </w:t>
      </w:r>
      <w:r w:rsidR="00692C8C" w:rsidRPr="00DB116B">
        <w:rPr>
          <w:rFonts w:ascii="Times New Roman" w:hAnsi="Times New Roman"/>
          <w:sz w:val="28"/>
          <w:szCs w:val="28"/>
        </w:rPr>
        <w:t>3-</w:t>
      </w:r>
      <w:r w:rsidR="00B04CE9">
        <w:rPr>
          <w:rFonts w:ascii="Times New Roman" w:hAnsi="Times New Roman"/>
          <w:sz w:val="28"/>
          <w:szCs w:val="28"/>
        </w:rPr>
        <w:t xml:space="preserve">пункт </w:t>
      </w:r>
      <w:r w:rsidR="00B04CE9" w:rsidRPr="00B04CE9">
        <w:rPr>
          <w:rFonts w:ascii="Times New Roman" w:hAnsi="Times New Roman"/>
          <w:color w:val="000000"/>
          <w:sz w:val="28"/>
          <w:szCs w:val="28"/>
        </w:rPr>
        <w:t>төмөнкүдөй редакцияда баяндалсын:</w:t>
      </w:r>
    </w:p>
    <w:p w14:paraId="4A8C1DD8" w14:textId="5BBEBF7D" w:rsidR="00F875D5" w:rsidRPr="0087674E" w:rsidRDefault="00F9655C" w:rsidP="00DB116B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692C8C" w:rsidRPr="0087674E">
        <w:rPr>
          <w:rFonts w:ascii="Times New Roman" w:hAnsi="Times New Roman" w:cs="Times New Roman"/>
          <w:color w:val="000000"/>
          <w:sz w:val="28"/>
          <w:szCs w:val="28"/>
        </w:rPr>
        <w:t>жүк көтөрүүчү механизмдер, эскалаторлор, асма жолдор, фуникулерлор, лифттер жана аттракциондор колдонулат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1EA91DE9" w14:textId="6B241B96" w:rsidR="00A16569" w:rsidRPr="0087674E" w:rsidRDefault="00A16569" w:rsidP="00DB116B">
      <w:pPr>
        <w:tabs>
          <w:tab w:val="left" w:pos="495"/>
        </w:tabs>
        <w:spacing w:after="0" w:line="257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87674E">
        <w:rPr>
          <w:rFonts w:ascii="Times New Roman" w:eastAsiaTheme="minorHAnsi" w:hAnsi="Times New Roman"/>
          <w:sz w:val="28"/>
          <w:szCs w:val="28"/>
        </w:rPr>
        <w:t>Бул токтомдун аткарылышын көзөмөлдөө Кыргыз Республикасынын Президентинин Администрациясынын Президенттин жана Министрлер Кабинетинин чечимдеринин аткарылышын контролдоо башкармалыгына жүктөлсүн.</w:t>
      </w:r>
    </w:p>
    <w:p w14:paraId="77E51F1E" w14:textId="79D072EB" w:rsidR="00F875D5" w:rsidRPr="0087674E" w:rsidRDefault="00A16569" w:rsidP="00DB116B">
      <w:pPr>
        <w:tabs>
          <w:tab w:val="left" w:pos="495"/>
        </w:tabs>
        <w:spacing w:line="257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7674E">
        <w:rPr>
          <w:rFonts w:ascii="Times New Roman" w:eastAsiaTheme="minorHAnsi" w:hAnsi="Times New Roman"/>
          <w:sz w:val="28"/>
          <w:szCs w:val="28"/>
        </w:rPr>
        <w:t>Бул токтом расмий жарыяланган күндөн тартып жети жумушчу күн өткөндөн кийин күчүнө кирет.</w:t>
      </w:r>
    </w:p>
    <w:p w14:paraId="2BE7B045" w14:textId="77777777" w:rsidR="00F875D5" w:rsidRPr="0087674E" w:rsidRDefault="00F875D5" w:rsidP="00F875D5">
      <w:pPr>
        <w:tabs>
          <w:tab w:val="left" w:pos="495"/>
        </w:tabs>
        <w:spacing w:line="256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2620FF8" w14:textId="731CF905" w:rsidR="00F875D5" w:rsidRPr="0087674E" w:rsidRDefault="00A16569" w:rsidP="00F875D5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>Кыргыз Республикасынын</w:t>
      </w:r>
      <w:r w:rsidR="00F875D5"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F875D5"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F875D5"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F875D5"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</w:p>
    <w:p w14:paraId="3701FE51" w14:textId="2A9E13F0" w:rsidR="00A16569" w:rsidRPr="0087674E" w:rsidRDefault="00A16569" w:rsidP="00F875D5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 xml:space="preserve">Министрлер Кабинетинин төрагасы </w:t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  <w:t xml:space="preserve">     А.У. Жапаров</w:t>
      </w:r>
    </w:p>
    <w:p w14:paraId="521A2FBD" w14:textId="47598A3B" w:rsidR="00F875D5" w:rsidRPr="0087674E" w:rsidRDefault="00A16569" w:rsidP="00F875D5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87674E">
        <w:rPr>
          <w:rFonts w:ascii="Times New Roman" w:eastAsiaTheme="minorHAnsi" w:hAnsi="Times New Roman"/>
          <w:b/>
          <w:bCs/>
          <w:sz w:val="28"/>
          <w:szCs w:val="28"/>
        </w:rPr>
        <w:tab/>
      </w:r>
    </w:p>
    <w:p w14:paraId="11921724" w14:textId="2C8E7DBF" w:rsidR="00E06FB3" w:rsidRPr="0087674E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17ACEAB" w14:textId="77777777" w:rsidR="00E06FB3" w:rsidRPr="0087674E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403F3F64" w14:textId="77777777" w:rsidR="001C266B" w:rsidRPr="0087674E" w:rsidRDefault="001C266B" w:rsidP="001C266B">
      <w:pPr>
        <w:tabs>
          <w:tab w:val="left" w:pos="495"/>
        </w:tabs>
        <w:spacing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1823B5EE" w14:textId="735D31A2" w:rsidR="001C266B" w:rsidRPr="001C266B" w:rsidRDefault="001C266B" w:rsidP="001C266B">
      <w:pPr>
        <w:rPr>
          <w:lang w:val="ru-RU"/>
        </w:rPr>
      </w:pPr>
    </w:p>
    <w:sectPr w:rsidR="001C266B" w:rsidRPr="001C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01"/>
    <w:multiLevelType w:val="hybridMultilevel"/>
    <w:tmpl w:val="601C8690"/>
    <w:lvl w:ilvl="0" w:tplc="A4ACD43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67ECD"/>
    <w:multiLevelType w:val="hybridMultilevel"/>
    <w:tmpl w:val="5FF00994"/>
    <w:lvl w:ilvl="0" w:tplc="21588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750803"/>
    <w:multiLevelType w:val="hybridMultilevel"/>
    <w:tmpl w:val="8BD05322"/>
    <w:lvl w:ilvl="0" w:tplc="66C86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BE6D8D"/>
    <w:multiLevelType w:val="hybridMultilevel"/>
    <w:tmpl w:val="F45C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D3020"/>
    <w:multiLevelType w:val="hybridMultilevel"/>
    <w:tmpl w:val="C308A1B4"/>
    <w:lvl w:ilvl="0" w:tplc="90EAD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93"/>
    <w:rsid w:val="000376C5"/>
    <w:rsid w:val="00094950"/>
    <w:rsid w:val="00134304"/>
    <w:rsid w:val="0019427B"/>
    <w:rsid w:val="001C266B"/>
    <w:rsid w:val="001F4C86"/>
    <w:rsid w:val="002507E6"/>
    <w:rsid w:val="00294C74"/>
    <w:rsid w:val="002F0742"/>
    <w:rsid w:val="00377E07"/>
    <w:rsid w:val="005412C3"/>
    <w:rsid w:val="00685160"/>
    <w:rsid w:val="00692C8C"/>
    <w:rsid w:val="00726B9B"/>
    <w:rsid w:val="00875C9C"/>
    <w:rsid w:val="0087674E"/>
    <w:rsid w:val="00960AA2"/>
    <w:rsid w:val="009B7F65"/>
    <w:rsid w:val="00A16569"/>
    <w:rsid w:val="00A6080F"/>
    <w:rsid w:val="00A706CC"/>
    <w:rsid w:val="00A814D6"/>
    <w:rsid w:val="00B04CE9"/>
    <w:rsid w:val="00BB18FC"/>
    <w:rsid w:val="00BC4904"/>
    <w:rsid w:val="00C328A1"/>
    <w:rsid w:val="00CD0C9B"/>
    <w:rsid w:val="00D41284"/>
    <w:rsid w:val="00D814BD"/>
    <w:rsid w:val="00DB116B"/>
    <w:rsid w:val="00E06FB3"/>
    <w:rsid w:val="00E30813"/>
    <w:rsid w:val="00F05693"/>
    <w:rsid w:val="00F36275"/>
    <w:rsid w:val="00F875D5"/>
    <w:rsid w:val="00F9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DAB3"/>
  <w15:chartTrackingRefBased/>
  <w15:docId w15:val="{EB577C5F-7B1B-4BAE-BF9B-163AFCD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93"/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 (numbered (a)) Знак,WB Para Знак,Akapit z listą BS Знак,List Paragraph 1 Знак,NUMBERED PARAGRAPH Знак,References Знак,CPS Знак,List_Paragraph Знак,Multilevel para_II Знак,ADB paragraph numbering Знак,Bullet1 Знак"/>
    <w:link w:val="a4"/>
    <w:uiPriority w:val="34"/>
    <w:locked/>
    <w:rsid w:val="00F05693"/>
    <w:rPr>
      <w:rFonts w:ascii="Calibri" w:eastAsia="Times New Roman" w:hAnsi="Calibri"/>
      <w:lang w:eastAsia="ru-RU"/>
    </w:rPr>
  </w:style>
  <w:style w:type="paragraph" w:styleId="a4">
    <w:name w:val="List Paragraph"/>
    <w:aliases w:val="List Paragraph (numbered (a)),WB Para,Akapit z listą BS,List Paragraph 1,NUMBERED PARAGRAPH,References,CPS,List_Paragraph,Multilevel para_II,ADB paragraph numbering,Bullet1,Main numbered paragraph,Абзац вправо-1"/>
    <w:basedOn w:val="a"/>
    <w:link w:val="a3"/>
    <w:uiPriority w:val="34"/>
    <w:qFormat/>
    <w:rsid w:val="00F05693"/>
    <w:pPr>
      <w:spacing w:after="200" w:line="276" w:lineRule="auto"/>
      <w:ind w:left="720"/>
      <w:contextualSpacing/>
    </w:pPr>
    <w:rPr>
      <w:rFonts w:eastAsia="Times New Roman" w:cstheme="minorBidi"/>
      <w:lang w:eastAsia="ru-RU"/>
    </w:rPr>
  </w:style>
  <w:style w:type="paragraph" w:customStyle="1" w:styleId="tkTekst">
    <w:name w:val="_Текст обычный (tkTekst)"/>
    <w:basedOn w:val="a"/>
    <w:rsid w:val="00F0569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A608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6080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6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0AA2"/>
    <w:rPr>
      <w:rFonts w:ascii="Segoe UI" w:eastAsia="Calibri" w:hAnsi="Segoe UI" w:cs="Segoe UI"/>
      <w:sz w:val="18"/>
      <w:szCs w:val="18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Жанылай Курманалиева</dc:creator>
  <cp:keywords/>
  <dc:description/>
  <cp:lastModifiedBy>Жениш Букаров</cp:lastModifiedBy>
  <cp:revision>7</cp:revision>
  <cp:lastPrinted>2024-08-19T04:34:00Z</cp:lastPrinted>
  <dcterms:created xsi:type="dcterms:W3CDTF">2024-11-21T10:02:00Z</dcterms:created>
  <dcterms:modified xsi:type="dcterms:W3CDTF">2024-12-02T08:41:00Z</dcterms:modified>
</cp:coreProperties>
</file>